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B35E6" w14:textId="77777777" w:rsidR="00844490" w:rsidRPr="00ED3B52" w:rsidRDefault="00844490" w:rsidP="005E02F1">
      <w:pPr>
        <w:pStyle w:val="NormalWeb"/>
        <w:shd w:val="clear" w:color="auto" w:fill="FFFFFF"/>
        <w:spacing w:before="0" w:beforeAutospacing="0" w:after="120" w:afterAutospacing="0"/>
        <w:jc w:val="center"/>
        <w:rPr>
          <w:rFonts w:ascii="Calibri" w:hAnsi="Calibri" w:cs="Calibri"/>
          <w:b/>
          <w:bCs/>
        </w:rPr>
      </w:pPr>
      <w:r w:rsidRPr="007152CE">
        <w:rPr>
          <w:rFonts w:ascii="Calibri" w:hAnsi="Calibri" w:cs="Calibri"/>
          <w:b/>
          <w:bCs/>
        </w:rPr>
        <w:t>PCRS Statement on pharmaceutical industry funding</w:t>
      </w:r>
    </w:p>
    <w:p w14:paraId="54DF059B" w14:textId="1411D014" w:rsidR="00844490" w:rsidRPr="00DE5D4B" w:rsidRDefault="00844490" w:rsidP="005E02F1">
      <w:pPr>
        <w:pStyle w:val="NormalWeb"/>
        <w:shd w:val="clear" w:color="auto" w:fill="FFFFFF"/>
        <w:spacing w:before="0" w:beforeAutospacing="0" w:after="120" w:afterAutospacing="0" w:line="280" w:lineRule="atLeast"/>
        <w:jc w:val="both"/>
        <w:rPr>
          <w:rFonts w:asciiTheme="minorHAnsi" w:hAnsiTheme="minorHAnsi" w:cstheme="minorHAnsi"/>
          <w:color w:val="000000"/>
          <w:sz w:val="22"/>
          <w:szCs w:val="22"/>
        </w:rPr>
      </w:pPr>
      <w:r w:rsidRPr="00DE5D4B">
        <w:rPr>
          <w:rFonts w:asciiTheme="minorHAnsi" w:hAnsiTheme="minorHAnsi" w:cstheme="minorHAnsi"/>
          <w:color w:val="000000"/>
          <w:sz w:val="22"/>
          <w:szCs w:val="22"/>
        </w:rPr>
        <w:t xml:space="preserve">PCRS seeks to work in collaboration with any organisation, who shares its aims of improving respiratory care. This includes commercial companies and government as well as other professional societies / charities. PCRS’s primary consideration in any collaboration is ensuring that its independence is not in any way compromised and it is free to act in the best interests of its members and what it considers to be in the best interests of people with respiratory conditions / the public good. </w:t>
      </w:r>
    </w:p>
    <w:p w14:paraId="56F77438" w14:textId="2D848458" w:rsidR="00844490" w:rsidRPr="00DE5D4B" w:rsidRDefault="00844490" w:rsidP="005E02F1">
      <w:pPr>
        <w:pStyle w:val="NormalWeb"/>
        <w:shd w:val="clear" w:color="auto" w:fill="FFFFFF"/>
        <w:spacing w:before="0" w:beforeAutospacing="0" w:after="120" w:afterAutospacing="0" w:line="280" w:lineRule="atLeast"/>
        <w:jc w:val="both"/>
        <w:rPr>
          <w:rFonts w:asciiTheme="minorHAnsi" w:hAnsiTheme="minorHAnsi" w:cstheme="minorHAnsi"/>
          <w:color w:val="000000"/>
          <w:sz w:val="22"/>
          <w:szCs w:val="22"/>
        </w:rPr>
      </w:pPr>
      <w:r w:rsidRPr="00DE5D4B">
        <w:rPr>
          <w:rFonts w:asciiTheme="minorHAnsi" w:hAnsiTheme="minorHAnsi" w:cstheme="minorHAnsi"/>
          <w:color w:val="000000"/>
          <w:sz w:val="22"/>
          <w:szCs w:val="22"/>
        </w:rPr>
        <w:t xml:space="preserve">PCRS recognises the very significant influence, through innovation in technology and investment in marketing and education that the pharmaceutical industry has on the delivery of healthcare. Through collaboration with pharmaceutical companies, PCRS is able to gain access to expertise and resources to promote the Society and support its charitable priorities that it would otherwise not have access to. </w:t>
      </w:r>
    </w:p>
    <w:p w14:paraId="1CA005C0" w14:textId="38FF435A" w:rsidR="00844490" w:rsidRPr="00DE5D4B" w:rsidRDefault="00844490" w:rsidP="005E02F1">
      <w:pPr>
        <w:pStyle w:val="NormalWeb"/>
        <w:shd w:val="clear" w:color="auto" w:fill="FFFFFF"/>
        <w:spacing w:before="0" w:beforeAutospacing="0" w:after="120" w:afterAutospacing="0" w:line="280" w:lineRule="atLeast"/>
        <w:jc w:val="both"/>
        <w:rPr>
          <w:rFonts w:asciiTheme="minorHAnsi" w:hAnsiTheme="minorHAnsi" w:cstheme="minorHAnsi"/>
          <w:color w:val="000000"/>
          <w:sz w:val="22"/>
          <w:szCs w:val="22"/>
        </w:rPr>
      </w:pPr>
      <w:r w:rsidRPr="00DE5D4B">
        <w:rPr>
          <w:rFonts w:asciiTheme="minorHAnsi" w:hAnsiTheme="minorHAnsi" w:cstheme="minorHAnsi"/>
          <w:color w:val="000000"/>
          <w:sz w:val="22"/>
          <w:szCs w:val="22"/>
        </w:rPr>
        <w:t xml:space="preserve">The financial support provided by PCRS Corporate Supporters for the core activities of the Society allows the PCRS to make its services either freely available or at greatly reduced rates to its members. From time to time PCRS may also work in partnership with companies to support the development of pharmaceutical industry education programmes, which support its overall business priorities. By doing this, PCRS is able to influence the content of such programmes by providing clinical and primary care input, and independent review / scrutiny. PCRS will only endorse / put its name to programmes where it has driven and approved the content and where it believes it is securing a good return on its investment in terms of income / fees for professional services, marketing opportunities and charitable impact. </w:t>
      </w:r>
    </w:p>
    <w:p w14:paraId="7C0C46BC" w14:textId="7D18A067" w:rsidR="00844490" w:rsidRPr="00DE5D4B" w:rsidRDefault="00844490" w:rsidP="005E02F1">
      <w:pPr>
        <w:pStyle w:val="NormalWeb"/>
        <w:shd w:val="clear" w:color="auto" w:fill="FFFFFF"/>
        <w:spacing w:before="0" w:beforeAutospacing="0" w:after="120" w:afterAutospacing="0" w:line="280" w:lineRule="atLeast"/>
        <w:jc w:val="both"/>
        <w:rPr>
          <w:rFonts w:asciiTheme="minorHAnsi" w:hAnsiTheme="minorHAnsi" w:cstheme="minorHAnsi"/>
          <w:color w:val="000000"/>
          <w:sz w:val="22"/>
          <w:szCs w:val="22"/>
        </w:rPr>
      </w:pPr>
      <w:r w:rsidRPr="00DE5D4B">
        <w:rPr>
          <w:rFonts w:asciiTheme="minorHAnsi" w:hAnsiTheme="minorHAnsi" w:cstheme="minorHAnsi"/>
          <w:color w:val="000000"/>
          <w:sz w:val="22"/>
          <w:szCs w:val="22"/>
        </w:rPr>
        <w:t xml:space="preserve">Professional Societies are generally primarily funded through membership subscriptions. As a primary </w:t>
      </w:r>
      <w:proofErr w:type="gramStart"/>
      <w:r w:rsidRPr="00DE5D4B">
        <w:rPr>
          <w:rFonts w:asciiTheme="minorHAnsi" w:hAnsiTheme="minorHAnsi" w:cstheme="minorHAnsi"/>
          <w:color w:val="000000"/>
          <w:sz w:val="22"/>
          <w:szCs w:val="22"/>
        </w:rPr>
        <w:t>care based</w:t>
      </w:r>
      <w:proofErr w:type="gramEnd"/>
      <w:r w:rsidRPr="00DE5D4B">
        <w:rPr>
          <w:rFonts w:asciiTheme="minorHAnsi" w:hAnsiTheme="minorHAnsi" w:cstheme="minorHAnsi"/>
          <w:color w:val="000000"/>
          <w:sz w:val="22"/>
          <w:szCs w:val="22"/>
        </w:rPr>
        <w:t xml:space="preserve"> Society, growing membership beyond a certain threshold has proven very difficult for PCRS as result of resistance within primary care to joining a specialist Society. Public fundraising is not a realistic source of funding for PCRS whose immediate beneficiaries of health professionals are not the public. </w:t>
      </w:r>
    </w:p>
    <w:p w14:paraId="454FADDA" w14:textId="4164DC31" w:rsidR="00844490" w:rsidRPr="00DE5D4B" w:rsidRDefault="00844490" w:rsidP="005E02F1">
      <w:pPr>
        <w:pStyle w:val="NormalWeb"/>
        <w:shd w:val="clear" w:color="auto" w:fill="FFFFFF"/>
        <w:spacing w:before="0" w:beforeAutospacing="0" w:after="120" w:afterAutospacing="0" w:line="280" w:lineRule="atLeast"/>
        <w:jc w:val="both"/>
        <w:rPr>
          <w:rFonts w:asciiTheme="minorHAnsi" w:hAnsiTheme="minorHAnsi" w:cstheme="minorHAnsi"/>
          <w:color w:val="000000"/>
          <w:sz w:val="22"/>
          <w:szCs w:val="22"/>
        </w:rPr>
      </w:pPr>
      <w:r w:rsidRPr="00DE5D4B">
        <w:rPr>
          <w:rFonts w:asciiTheme="minorHAnsi" w:hAnsiTheme="minorHAnsi" w:cstheme="minorHAnsi"/>
          <w:color w:val="000000"/>
          <w:sz w:val="22"/>
          <w:szCs w:val="22"/>
        </w:rPr>
        <w:t xml:space="preserve">PCRS is currently reliant on pharmaceutical industry for a significant proportion of its income (circa 75%). Funding is secured from each of the major companies in the respiratory market. Our aim is that in any one year no company contributes more than 20% total funding to ensure there is no bias to any particular company. In the event that the threshold was exceeded, steps would be taken to ensure that the funding was reduced in future years such that over a </w:t>
      </w:r>
      <w:proofErr w:type="gramStart"/>
      <w:r w:rsidRPr="00DE5D4B">
        <w:rPr>
          <w:rFonts w:asciiTheme="minorHAnsi" w:hAnsiTheme="minorHAnsi" w:cstheme="minorHAnsi"/>
          <w:color w:val="000000"/>
          <w:sz w:val="22"/>
          <w:szCs w:val="22"/>
        </w:rPr>
        <w:t>3</w:t>
      </w:r>
      <w:r w:rsidR="005E02F1">
        <w:rPr>
          <w:rFonts w:asciiTheme="minorHAnsi" w:hAnsiTheme="minorHAnsi" w:cstheme="minorHAnsi"/>
          <w:color w:val="000000"/>
          <w:sz w:val="22"/>
          <w:szCs w:val="22"/>
        </w:rPr>
        <w:t xml:space="preserve"> </w:t>
      </w:r>
      <w:r w:rsidRPr="00DE5D4B">
        <w:rPr>
          <w:rFonts w:asciiTheme="minorHAnsi" w:hAnsiTheme="minorHAnsi" w:cstheme="minorHAnsi"/>
          <w:color w:val="000000"/>
          <w:sz w:val="22"/>
          <w:szCs w:val="22"/>
        </w:rPr>
        <w:t>year</w:t>
      </w:r>
      <w:proofErr w:type="gramEnd"/>
      <w:r w:rsidRPr="00DE5D4B">
        <w:rPr>
          <w:rFonts w:asciiTheme="minorHAnsi" w:hAnsiTheme="minorHAnsi" w:cstheme="minorHAnsi"/>
          <w:color w:val="000000"/>
          <w:sz w:val="22"/>
          <w:szCs w:val="22"/>
        </w:rPr>
        <w:t xml:space="preserve"> period it does not exceed 20%. Written agreements are in place for all funding received from the pharmaceutical industry. The sources of funding are declared and made transparent on the PCRS website and on all relevant materials. </w:t>
      </w:r>
    </w:p>
    <w:p w14:paraId="1CCD4B9B" w14:textId="77777777" w:rsidR="00844490" w:rsidRPr="00DE5D4B" w:rsidRDefault="00844490" w:rsidP="005E02F1">
      <w:pPr>
        <w:pStyle w:val="NormalWeb"/>
        <w:shd w:val="clear" w:color="auto" w:fill="FFFFFF"/>
        <w:spacing w:before="0" w:beforeAutospacing="0" w:after="120" w:afterAutospacing="0" w:line="280" w:lineRule="atLeast"/>
        <w:jc w:val="both"/>
        <w:rPr>
          <w:rFonts w:asciiTheme="minorHAnsi" w:hAnsiTheme="minorHAnsi" w:cstheme="minorHAnsi"/>
          <w:color w:val="000000"/>
          <w:sz w:val="22"/>
          <w:szCs w:val="22"/>
        </w:rPr>
      </w:pPr>
      <w:r w:rsidRPr="00DE5D4B">
        <w:rPr>
          <w:rFonts w:asciiTheme="minorHAnsi" w:hAnsiTheme="minorHAnsi" w:cstheme="minorHAnsi"/>
          <w:color w:val="000000"/>
          <w:sz w:val="22"/>
          <w:szCs w:val="22"/>
        </w:rPr>
        <w:t xml:space="preserve">PCRS recognises its credibility and independence as its greatest assets both in terms of its ability to influence and to secure support. It also recognises the potential conflicts that its reliance upon pharmaceutical industry brings. PCRS has rigorous governance processes in place to ensure it operates independently and is not unduly influenced by any third-party body. This includes policies on management conflict of interest, endorsement and commercial partnerships (see </w:t>
      </w:r>
      <w:hyperlink r:id="rId11" w:tgtFrame="_blank" w:history="1">
        <w:r w:rsidRPr="00DE5D4B">
          <w:rPr>
            <w:rStyle w:val="qowt-stl-hyperlink"/>
            <w:rFonts w:asciiTheme="minorHAnsi" w:hAnsiTheme="minorHAnsi" w:cstheme="minorHAnsi"/>
            <w:color w:val="0563C1"/>
            <w:sz w:val="22"/>
            <w:szCs w:val="22"/>
            <w:u w:val="single"/>
          </w:rPr>
          <w:t>http://www.PCRS.org/company-papers</w:t>
        </w:r>
      </w:hyperlink>
      <w:r w:rsidRPr="00DE5D4B">
        <w:rPr>
          <w:rFonts w:asciiTheme="minorHAnsi" w:hAnsiTheme="minorHAnsi" w:cstheme="minorHAnsi"/>
          <w:color w:val="000000"/>
          <w:sz w:val="22"/>
          <w:szCs w:val="22"/>
        </w:rPr>
        <w:t xml:space="preserve">). The trustee board operates at arm’s length from PCRS Corporate Supporters and has no direct contact with them. The large majority of the Board has no interest in the pharmaceutical industry. The </w:t>
      </w:r>
      <w:hyperlink r:id="rId12" w:tgtFrame="_blank" w:history="1">
        <w:r w:rsidRPr="00DE5D4B">
          <w:rPr>
            <w:rStyle w:val="qowt-stl-hyperlink"/>
            <w:rFonts w:asciiTheme="minorHAnsi" w:hAnsiTheme="minorHAnsi" w:cstheme="minorHAnsi"/>
            <w:color w:val="0563C1"/>
            <w:sz w:val="22"/>
            <w:szCs w:val="22"/>
            <w:u w:val="single"/>
          </w:rPr>
          <w:t>Trustee Board</w:t>
        </w:r>
      </w:hyperlink>
      <w:r w:rsidRPr="00DE5D4B">
        <w:rPr>
          <w:rFonts w:asciiTheme="minorHAnsi" w:hAnsiTheme="minorHAnsi" w:cstheme="minorHAnsi"/>
          <w:color w:val="000000"/>
          <w:sz w:val="22"/>
          <w:szCs w:val="22"/>
        </w:rPr>
        <w:t xml:space="preserve"> is responsible for overseeing the activities of the Society, ensuring proper procedures and policies are in place to manage resources effectively to deliver charitable outcomes and to protect the independence and reputation of the Society. </w:t>
      </w:r>
    </w:p>
    <w:p w14:paraId="697D95AE" w14:textId="79191714" w:rsidR="00A3240C" w:rsidRPr="00844490" w:rsidRDefault="00844490" w:rsidP="005E02F1">
      <w:pPr>
        <w:pStyle w:val="NormalWeb"/>
        <w:shd w:val="clear" w:color="auto" w:fill="FFFFFF"/>
        <w:spacing w:before="0" w:beforeAutospacing="0" w:after="0" w:afterAutospacing="0" w:line="280" w:lineRule="atLeast"/>
        <w:rPr>
          <w:rFonts w:asciiTheme="minorHAnsi" w:hAnsiTheme="minorHAnsi" w:cstheme="minorHAnsi"/>
          <w:b/>
          <w:bCs/>
          <w:sz w:val="22"/>
          <w:szCs w:val="22"/>
        </w:rPr>
      </w:pPr>
      <w:r w:rsidRPr="00DE5D4B">
        <w:rPr>
          <w:rFonts w:asciiTheme="minorHAnsi" w:hAnsiTheme="minorHAnsi" w:cstheme="minorHAnsi"/>
          <w:b/>
          <w:bCs/>
          <w:color w:val="000000"/>
          <w:sz w:val="22"/>
          <w:szCs w:val="22"/>
        </w:rPr>
        <w:t>Dated: March 2020</w:t>
      </w:r>
      <w:bookmarkStart w:id="0" w:name="_GoBack"/>
      <w:bookmarkEnd w:id="0"/>
    </w:p>
    <w:sectPr w:rsidR="00A3240C" w:rsidRPr="00844490" w:rsidSect="00CB4786">
      <w:headerReference w:type="first" r:id="rId13"/>
      <w:footerReference w:type="first" r:id="rId14"/>
      <w:pgSz w:w="11907" w:h="16840" w:code="9"/>
      <w:pgMar w:top="680" w:right="964" w:bottom="397" w:left="964" w:header="850"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1DE19" w14:textId="77777777" w:rsidR="00CE4C49" w:rsidRDefault="00CE4C49">
      <w:r>
        <w:separator/>
      </w:r>
    </w:p>
  </w:endnote>
  <w:endnote w:type="continuationSeparator" w:id="0">
    <w:p w14:paraId="1F92BDBE" w14:textId="77777777" w:rsidR="00CE4C49" w:rsidRDefault="00CE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0606A" w14:textId="77777777" w:rsidR="005E02F1" w:rsidRPr="00381715" w:rsidRDefault="005E02F1" w:rsidP="005E02F1">
    <w:pPr>
      <w:tabs>
        <w:tab w:val="left" w:pos="4395"/>
      </w:tabs>
      <w:spacing w:after="120"/>
      <w:rPr>
        <w:rFonts w:ascii="Calibri" w:hAnsi="Calibri" w:cs="Calibri"/>
        <w:b/>
        <w:color w:val="244061"/>
        <w:sz w:val="20"/>
        <w:szCs w:val="20"/>
      </w:rPr>
    </w:pPr>
    <w:r w:rsidRPr="00381715">
      <w:rPr>
        <w:rFonts w:ascii="Calibri" w:hAnsi="Calibri"/>
        <w:noProof/>
      </w:rPr>
      <w:drawing>
        <wp:anchor distT="0" distB="0" distL="114300" distR="114300" simplePos="0" relativeHeight="251667456" behindDoc="0" locked="0" layoutInCell="1" allowOverlap="1" wp14:anchorId="12CD9C5E" wp14:editId="74F485E1">
          <wp:simplePos x="0" y="0"/>
          <wp:positionH relativeFrom="column">
            <wp:posOffset>0</wp:posOffset>
          </wp:positionH>
          <wp:positionV relativeFrom="paragraph">
            <wp:posOffset>119380</wp:posOffset>
          </wp:positionV>
          <wp:extent cx="2504440" cy="351155"/>
          <wp:effectExtent l="0" t="0" r="0"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44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715">
      <w:rPr>
        <w:rFonts w:ascii="Calibri" w:hAnsi="Calibri"/>
        <w:noProof/>
      </w:rPr>
      <w:drawing>
        <wp:anchor distT="0" distB="0" distL="114300" distR="114300" simplePos="0" relativeHeight="251668480" behindDoc="0" locked="0" layoutInCell="1" allowOverlap="1" wp14:anchorId="63C110BB" wp14:editId="00ABC9DA">
          <wp:simplePos x="0" y="0"/>
          <wp:positionH relativeFrom="column">
            <wp:posOffset>0</wp:posOffset>
          </wp:positionH>
          <wp:positionV relativeFrom="paragraph">
            <wp:posOffset>119380</wp:posOffset>
          </wp:positionV>
          <wp:extent cx="2504440" cy="351155"/>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44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715">
      <w:rPr>
        <w:rFonts w:ascii="Calibri" w:hAnsi="Calibri"/>
        <w:noProof/>
      </w:rPr>
      <w:drawing>
        <wp:anchor distT="0" distB="0" distL="114300" distR="114300" simplePos="0" relativeHeight="251669504" behindDoc="0" locked="0" layoutInCell="1" allowOverlap="1" wp14:anchorId="596B6398" wp14:editId="07D8AF4A">
          <wp:simplePos x="0" y="0"/>
          <wp:positionH relativeFrom="column">
            <wp:posOffset>0</wp:posOffset>
          </wp:positionH>
          <wp:positionV relativeFrom="paragraph">
            <wp:posOffset>119380</wp:posOffset>
          </wp:positionV>
          <wp:extent cx="2504440" cy="3511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44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715">
      <w:rPr>
        <w:rFonts w:ascii="Calibri" w:hAnsi="Calibri"/>
        <w:noProof/>
      </w:rPr>
      <w:drawing>
        <wp:anchor distT="0" distB="0" distL="114300" distR="114300" simplePos="0" relativeHeight="251670528" behindDoc="0" locked="0" layoutInCell="1" allowOverlap="1" wp14:anchorId="1EC96C7F" wp14:editId="305409F9">
          <wp:simplePos x="0" y="0"/>
          <wp:positionH relativeFrom="column">
            <wp:posOffset>0</wp:posOffset>
          </wp:positionH>
          <wp:positionV relativeFrom="paragraph">
            <wp:posOffset>119380</wp:posOffset>
          </wp:positionV>
          <wp:extent cx="2504440" cy="3511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440" cy="351155"/>
                  </a:xfrm>
                  <a:prstGeom prst="rect">
                    <a:avLst/>
                  </a:prstGeom>
                  <a:noFill/>
                </pic:spPr>
              </pic:pic>
            </a:graphicData>
          </a:graphic>
          <wp14:sizeRelH relativeFrom="page">
            <wp14:pctWidth>0</wp14:pctWidth>
          </wp14:sizeRelH>
          <wp14:sizeRelV relativeFrom="page">
            <wp14:pctHeight>0</wp14:pctHeight>
          </wp14:sizeRelV>
        </wp:anchor>
      </w:drawing>
    </w:r>
  </w:p>
  <w:p w14:paraId="35BFCE53" w14:textId="77777777" w:rsidR="005E02F1" w:rsidRPr="00381715" w:rsidRDefault="005E02F1" w:rsidP="005E02F1">
    <w:pPr>
      <w:tabs>
        <w:tab w:val="left" w:pos="3969"/>
      </w:tabs>
      <w:spacing w:after="120"/>
      <w:rPr>
        <w:rFonts w:ascii="Calibri" w:hAnsi="Calibri" w:cs="Calibri"/>
        <w:sz w:val="20"/>
        <w:szCs w:val="20"/>
      </w:rPr>
    </w:pPr>
    <w:r w:rsidRPr="00381715">
      <w:rPr>
        <w:rFonts w:ascii="Calibri" w:hAnsi="Calibri" w:cs="Calibri"/>
        <w:noProof/>
        <w:color w:val="003366"/>
        <w:sz w:val="20"/>
        <w:szCs w:val="20"/>
      </w:rPr>
      <mc:AlternateContent>
        <mc:Choice Requires="wps">
          <w:drawing>
            <wp:anchor distT="0" distB="0" distL="114300" distR="114300" simplePos="0" relativeHeight="251671552" behindDoc="0" locked="0" layoutInCell="1" allowOverlap="1" wp14:anchorId="230F5406" wp14:editId="1E17375C">
              <wp:simplePos x="0" y="0"/>
              <wp:positionH relativeFrom="column">
                <wp:posOffset>5080</wp:posOffset>
              </wp:positionH>
              <wp:positionV relativeFrom="paragraph">
                <wp:posOffset>248285</wp:posOffset>
              </wp:positionV>
              <wp:extent cx="6240780" cy="0"/>
              <wp:effectExtent l="0" t="0" r="2667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straightConnector1">
                        <a:avLst/>
                      </a:prstGeom>
                      <a:noFill/>
                      <a:ln w="15875">
                        <a:solidFill>
                          <a:srgbClr val="0625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02222" id="_x0000_t32" coordsize="21600,21600" o:spt="32" o:oned="t" path="m,l21600,21600e" filled="f">
              <v:path arrowok="t" fillok="f" o:connecttype="none"/>
              <o:lock v:ext="edit" shapetype="t"/>
            </v:shapetype>
            <v:shape id="Straight Arrow Connector 14" o:spid="_x0000_s1026" type="#_x0000_t32" style="position:absolute;margin-left:.4pt;margin-top:19.55pt;width:491.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" strokecolor="#06253e" strokeweight="1.25pt"/>
          </w:pict>
        </mc:Fallback>
      </mc:AlternateContent>
    </w:r>
    <w:r w:rsidRPr="00381715">
      <w:rPr>
        <w:rFonts w:ascii="Calibri" w:hAnsi="Calibri" w:cs="Calibri"/>
        <w:b/>
        <w:color w:val="244061"/>
        <w:sz w:val="20"/>
        <w:szCs w:val="20"/>
      </w:rPr>
      <w:tab/>
    </w:r>
    <w:r w:rsidRPr="00381715">
      <w:rPr>
        <w:rFonts w:ascii="Calibri" w:hAnsi="Calibri" w:cs="Calibri"/>
        <w:b/>
        <w:sz w:val="20"/>
        <w:szCs w:val="20"/>
      </w:rPr>
      <w:t xml:space="preserve">   </w:t>
    </w:r>
    <w:r w:rsidRPr="00381715">
      <w:rPr>
        <w:rFonts w:ascii="Calibri" w:hAnsi="Calibri" w:cs="Calibri"/>
        <w:sz w:val="20"/>
        <w:szCs w:val="20"/>
      </w:rPr>
      <w:t xml:space="preserve">Official Journal of the PCRS </w:t>
    </w:r>
    <w:hyperlink r:id="rId2" w:history="1">
      <w:r w:rsidRPr="00381715">
        <w:rPr>
          <w:rFonts w:ascii="Calibri" w:hAnsi="Calibri" w:cs="Calibri"/>
          <w:color w:val="0000FF"/>
          <w:sz w:val="20"/>
          <w:szCs w:val="20"/>
          <w:u w:val="single"/>
        </w:rPr>
        <w:t>http://www.nature.com/npjpcrm/</w:t>
      </w:r>
    </w:hyperlink>
    <w:r w:rsidRPr="00381715">
      <w:rPr>
        <w:rFonts w:ascii="Calibri" w:hAnsi="Calibri" w:cs="Calibri"/>
        <w:sz w:val="20"/>
        <w:szCs w:val="20"/>
      </w:rPr>
      <w:t xml:space="preserve"> </w:t>
    </w:r>
    <w:r w:rsidRPr="00381715">
      <w:rPr>
        <w:rFonts w:ascii="Calibri" w:hAnsi="Calibri" w:cs="Calibri"/>
        <w:sz w:val="20"/>
        <w:szCs w:val="20"/>
      </w:rPr>
      <w:br/>
    </w:r>
  </w:p>
  <w:p w14:paraId="1A5B1DE5" w14:textId="77777777" w:rsidR="005E02F1" w:rsidRPr="00381715" w:rsidRDefault="005E02F1" w:rsidP="005E02F1">
    <w:pPr>
      <w:tabs>
        <w:tab w:val="left" w:pos="-142"/>
        <w:tab w:val="left" w:pos="2835"/>
        <w:tab w:val="left" w:pos="5670"/>
      </w:tabs>
      <w:spacing w:after="120"/>
      <w:rPr>
        <w:rFonts w:ascii="Calibri" w:hAnsi="Calibri" w:cs="Calibri"/>
        <w:color w:val="000000"/>
        <w:sz w:val="20"/>
        <w:szCs w:val="20"/>
      </w:rPr>
    </w:pPr>
    <w:r w:rsidRPr="00381715">
      <w:rPr>
        <w:rFonts w:ascii="Calibri" w:hAnsi="Calibri" w:cs="Calibri"/>
        <w:color w:val="000000"/>
        <w:sz w:val="20"/>
        <w:szCs w:val="20"/>
      </w:rPr>
      <w:t xml:space="preserve">The Primary Care Respiratory Society UK registered office: </w:t>
    </w:r>
    <w:proofErr w:type="spellStart"/>
    <w:r w:rsidRPr="00381715">
      <w:rPr>
        <w:rFonts w:ascii="Calibri" w:hAnsi="Calibri" w:cs="Calibri"/>
        <w:color w:val="000000"/>
        <w:sz w:val="20"/>
        <w:szCs w:val="20"/>
      </w:rPr>
      <w:t>Miria</w:t>
    </w:r>
    <w:proofErr w:type="spellEnd"/>
    <w:r w:rsidRPr="00381715">
      <w:rPr>
        <w:rFonts w:ascii="Calibri" w:hAnsi="Calibri" w:cs="Calibri"/>
        <w:color w:val="000000"/>
        <w:sz w:val="20"/>
        <w:szCs w:val="20"/>
      </w:rPr>
      <w:t xml:space="preserve"> House, 1683b High Street, Knowle, Solihull B93 0LL.       Registered Charity: 1098117    Company No:  4298947    VAT Registration Number 866 1543 09</w:t>
    </w:r>
    <w:r w:rsidRPr="00381715">
      <w:rPr>
        <w:rFonts w:ascii="Calibri" w:hAnsi="Calibri" w:cs="Calibri"/>
        <w:color w:val="000000"/>
        <w:sz w:val="20"/>
        <w:szCs w:val="20"/>
      </w:rPr>
      <w:br/>
      <w:t xml:space="preserve">Telephone: +44 (0)1675 477600    </w:t>
    </w:r>
    <w:r w:rsidRPr="00381715">
      <w:rPr>
        <w:rFonts w:ascii="Calibri" w:hAnsi="Calibri" w:cs="Calibri"/>
        <w:color w:val="000000"/>
        <w:sz w:val="20"/>
        <w:szCs w:val="20"/>
      </w:rPr>
      <w:tab/>
      <w:t xml:space="preserve">Email: </w:t>
    </w:r>
    <w:hyperlink r:id="rId3" w:history="1">
      <w:r w:rsidRPr="00381715">
        <w:rPr>
          <w:rFonts w:ascii="Calibri" w:hAnsi="Calibri" w:cs="Calibri"/>
          <w:color w:val="000000"/>
          <w:sz w:val="20"/>
          <w:szCs w:val="20"/>
        </w:rPr>
        <w:t>info@pcrs-uk.org</w:t>
      </w:r>
    </w:hyperlink>
    <w:r w:rsidRPr="00381715">
      <w:rPr>
        <w:rFonts w:ascii="Calibri" w:hAnsi="Calibri" w:cs="Calibri"/>
        <w:color w:val="000000"/>
        <w:sz w:val="20"/>
        <w:szCs w:val="20"/>
      </w:rPr>
      <w:t xml:space="preserve">    Website: http://www.pcrs-uk.org</w:t>
    </w:r>
  </w:p>
  <w:p w14:paraId="3496A891" w14:textId="77777777" w:rsidR="005E02F1" w:rsidRDefault="005E02F1" w:rsidP="005E02F1">
    <w:pPr>
      <w:rPr>
        <w:rFonts w:ascii="Arial" w:hAnsi="Arial" w:cs="Arial"/>
        <w:color w:val="003366"/>
        <w:sz w:val="16"/>
        <w:szCs w:val="16"/>
      </w:rPr>
    </w:pPr>
    <w:r w:rsidRPr="00381715">
      <w:rPr>
        <w:rFonts w:ascii="Calibri" w:hAnsi="Calibri"/>
        <w:noProof/>
        <w:color w:val="000000"/>
        <w:sz w:val="20"/>
        <w:szCs w:val="20"/>
        <w:shd w:val="clear" w:color="auto" w:fill="FFFFFF"/>
      </w:rPr>
      <w:t>We are grateful to our </w:t>
    </w:r>
    <w:hyperlink r:id="rId4" w:history="1">
      <w:r w:rsidRPr="00381715">
        <w:rPr>
          <w:rFonts w:ascii="Calibri" w:hAnsi="Calibri"/>
          <w:noProof/>
          <w:color w:val="0000FF"/>
          <w:sz w:val="20"/>
          <w:szCs w:val="20"/>
          <w:u w:val="single"/>
          <w:shd w:val="clear" w:color="auto" w:fill="FFFFFF"/>
        </w:rPr>
        <w:t>corporate supporters</w:t>
      </w:r>
    </w:hyperlink>
    <w:r w:rsidRPr="00381715">
      <w:rPr>
        <w:rFonts w:ascii="Calibri" w:hAnsi="Calibri"/>
        <w:noProof/>
        <w:color w:val="000000"/>
        <w:sz w:val="20"/>
        <w:szCs w:val="20"/>
        <w:shd w:val="clear" w:color="auto" w:fill="FFFFFF"/>
      </w:rPr>
      <w:t xml:space="preserve"> for their financial support which supports the core activities of the Charity and allows us to make our services either freely available or at greatly reduced rates to members</w:t>
    </w:r>
    <w:r w:rsidRPr="00381715">
      <w:rPr>
        <w:rFonts w:ascii="Calibri" w:hAnsi="Calibri"/>
        <w:noProof/>
        <w:sz w:val="20"/>
        <w:szCs w:val="20"/>
      </w:rPr>
      <w:t>. </w:t>
    </w:r>
    <w:r w:rsidRPr="00381715">
      <w:rPr>
        <w:rFonts w:ascii="Calibri" w:hAnsi="Calibri"/>
        <w:noProof/>
        <w:color w:val="0000FF"/>
        <w:sz w:val="20"/>
        <w:szCs w:val="20"/>
        <w:u w:val="single"/>
      </w:rPr>
      <w:t>PCRS statement on pharmaceutical funding</w:t>
    </w:r>
  </w:p>
  <w:p w14:paraId="6FEF1D12" w14:textId="77777777" w:rsidR="00407A67" w:rsidRDefault="0040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41AE1" w14:textId="77777777" w:rsidR="00CE4C49" w:rsidRDefault="00CE4C49">
      <w:r>
        <w:separator/>
      </w:r>
    </w:p>
  </w:footnote>
  <w:footnote w:type="continuationSeparator" w:id="0">
    <w:p w14:paraId="7CE6B60C" w14:textId="77777777" w:rsidR="00CE4C49" w:rsidRDefault="00CE4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6D840" w14:textId="77777777" w:rsidR="00CB4786" w:rsidRPr="003B48A5" w:rsidRDefault="00CB4786" w:rsidP="00CB4786">
    <w:pPr>
      <w:pStyle w:val="NormalWeb"/>
      <w:shd w:val="clear" w:color="auto" w:fill="FFFFFF"/>
      <w:spacing w:before="0" w:beforeAutospacing="0" w:after="0" w:afterAutospacing="0"/>
      <w:rPr>
        <w:rFonts w:asciiTheme="minorHAnsi" w:hAnsiTheme="minorHAnsi" w:cstheme="minorHAnsi"/>
        <w:b/>
        <w:color w:val="06253E"/>
        <w:sz w:val="40"/>
        <w:szCs w:val="28"/>
      </w:rPr>
    </w:pPr>
    <w:r w:rsidRPr="003B48A5">
      <w:rPr>
        <w:b/>
        <w:noProof/>
        <w:color w:val="06253E"/>
        <w:sz w:val="48"/>
        <w:szCs w:val="36"/>
      </w:rPr>
      <w:drawing>
        <wp:anchor distT="0" distB="0" distL="114300" distR="114300" simplePos="0" relativeHeight="251665408" behindDoc="1" locked="0" layoutInCell="1" allowOverlap="1" wp14:anchorId="5A695E6C" wp14:editId="1F92E188">
          <wp:simplePos x="0" y="0"/>
          <wp:positionH relativeFrom="margin">
            <wp:posOffset>5333365</wp:posOffset>
          </wp:positionH>
          <wp:positionV relativeFrom="margin">
            <wp:posOffset>-1011555</wp:posOffset>
          </wp:positionV>
          <wp:extent cx="971550" cy="971550"/>
          <wp:effectExtent l="0" t="0" r="0" b="0"/>
          <wp:wrapTight wrapText="bothSides">
            <wp:wrapPolygon edited="0">
              <wp:start x="0" y="0"/>
              <wp:lineTo x="0" y="21176"/>
              <wp:lineTo x="21176" y="21176"/>
              <wp:lineTo x="2117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 Logo Final 3107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Pr="003B48A5">
      <w:rPr>
        <w:rFonts w:asciiTheme="minorHAnsi" w:hAnsiTheme="minorHAnsi" w:cstheme="minorHAnsi"/>
        <w:b/>
        <w:color w:val="06253E"/>
        <w:sz w:val="40"/>
        <w:szCs w:val="28"/>
      </w:rPr>
      <w:t>Primary Care Respiratory Society</w:t>
    </w:r>
  </w:p>
  <w:p w14:paraId="2932D05D" w14:textId="77777777" w:rsidR="00CB4786" w:rsidRDefault="00CB4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383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47636"/>
    <w:multiLevelType w:val="hybridMultilevel"/>
    <w:tmpl w:val="7BEEF95E"/>
    <w:lvl w:ilvl="0" w:tplc="730031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07F5B"/>
    <w:multiLevelType w:val="hybridMultilevel"/>
    <w:tmpl w:val="1B643AF2"/>
    <w:lvl w:ilvl="0" w:tplc="11B21726">
      <w:start w:val="1"/>
      <w:numFmt w:val="bullet"/>
      <w:lvlText w:val=""/>
      <w:lvlJc w:val="left"/>
      <w:pPr>
        <w:tabs>
          <w:tab w:val="num" w:pos="1080"/>
        </w:tabs>
        <w:ind w:left="108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E0717B"/>
    <w:multiLevelType w:val="hybridMultilevel"/>
    <w:tmpl w:val="56F0A7C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0D37735"/>
    <w:multiLevelType w:val="hybridMultilevel"/>
    <w:tmpl w:val="B1B4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F49AB"/>
    <w:multiLevelType w:val="hybridMultilevel"/>
    <w:tmpl w:val="CD9EC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8549BD"/>
    <w:multiLevelType w:val="hybridMultilevel"/>
    <w:tmpl w:val="7CD8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145D1"/>
    <w:multiLevelType w:val="hybridMultilevel"/>
    <w:tmpl w:val="02D88E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FCF29B9"/>
    <w:multiLevelType w:val="hybridMultilevel"/>
    <w:tmpl w:val="0D00211C"/>
    <w:lvl w:ilvl="0" w:tplc="5316D6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47512E"/>
    <w:multiLevelType w:val="hybridMultilevel"/>
    <w:tmpl w:val="E804A0A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A902B93"/>
    <w:multiLevelType w:val="hybridMultilevel"/>
    <w:tmpl w:val="BCF80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4"/>
  </w:num>
  <w:num w:numId="5">
    <w:abstractNumId w:val="0"/>
  </w:num>
  <w:num w:numId="6">
    <w:abstractNumId w:val="1"/>
  </w:num>
  <w:num w:numId="7">
    <w:abstractNumId w:val="8"/>
  </w:num>
  <w:num w:numId="8">
    <w:abstractNumId w:val="3"/>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E2"/>
    <w:rsid w:val="000111B9"/>
    <w:rsid w:val="000130A5"/>
    <w:rsid w:val="00017211"/>
    <w:rsid w:val="0002262D"/>
    <w:rsid w:val="00026E22"/>
    <w:rsid w:val="00027012"/>
    <w:rsid w:val="0002759B"/>
    <w:rsid w:val="000318EC"/>
    <w:rsid w:val="00033A24"/>
    <w:rsid w:val="000342B4"/>
    <w:rsid w:val="000356D0"/>
    <w:rsid w:val="00045273"/>
    <w:rsid w:val="000518EC"/>
    <w:rsid w:val="00053C30"/>
    <w:rsid w:val="000718ED"/>
    <w:rsid w:val="0007756E"/>
    <w:rsid w:val="00080A67"/>
    <w:rsid w:val="0008708A"/>
    <w:rsid w:val="000939E6"/>
    <w:rsid w:val="00095849"/>
    <w:rsid w:val="00097808"/>
    <w:rsid w:val="000A4338"/>
    <w:rsid w:val="000A51F7"/>
    <w:rsid w:val="000A5668"/>
    <w:rsid w:val="000D034F"/>
    <w:rsid w:val="000D1BF3"/>
    <w:rsid w:val="000D343E"/>
    <w:rsid w:val="000E265C"/>
    <w:rsid w:val="000F2D2B"/>
    <w:rsid w:val="000F2F3E"/>
    <w:rsid w:val="000F3A6B"/>
    <w:rsid w:val="000F5F9D"/>
    <w:rsid w:val="00102833"/>
    <w:rsid w:val="0011001D"/>
    <w:rsid w:val="00111C4C"/>
    <w:rsid w:val="00130149"/>
    <w:rsid w:val="00131545"/>
    <w:rsid w:val="00131B81"/>
    <w:rsid w:val="001567CD"/>
    <w:rsid w:val="001626D6"/>
    <w:rsid w:val="00164AE0"/>
    <w:rsid w:val="00183655"/>
    <w:rsid w:val="001850A8"/>
    <w:rsid w:val="00196DF4"/>
    <w:rsid w:val="001A3566"/>
    <w:rsid w:val="001A4159"/>
    <w:rsid w:val="001B7691"/>
    <w:rsid w:val="001C52E4"/>
    <w:rsid w:val="001D6B96"/>
    <w:rsid w:val="001E2C68"/>
    <w:rsid w:val="001E2CDF"/>
    <w:rsid w:val="001E78A1"/>
    <w:rsid w:val="001F24F3"/>
    <w:rsid w:val="001F521E"/>
    <w:rsid w:val="00201FE1"/>
    <w:rsid w:val="0020311E"/>
    <w:rsid w:val="00203488"/>
    <w:rsid w:val="0020481F"/>
    <w:rsid w:val="00205C1B"/>
    <w:rsid w:val="00224182"/>
    <w:rsid w:val="00246C1C"/>
    <w:rsid w:val="002503C1"/>
    <w:rsid w:val="00270DF6"/>
    <w:rsid w:val="00275978"/>
    <w:rsid w:val="00275F5B"/>
    <w:rsid w:val="002830BF"/>
    <w:rsid w:val="00291614"/>
    <w:rsid w:val="002966DC"/>
    <w:rsid w:val="002B4B10"/>
    <w:rsid w:val="002C09BD"/>
    <w:rsid w:val="002C6A6F"/>
    <w:rsid w:val="002E63D2"/>
    <w:rsid w:val="0032256C"/>
    <w:rsid w:val="00325821"/>
    <w:rsid w:val="00326A45"/>
    <w:rsid w:val="00330140"/>
    <w:rsid w:val="00355D71"/>
    <w:rsid w:val="0036297B"/>
    <w:rsid w:val="00364CD6"/>
    <w:rsid w:val="00380A38"/>
    <w:rsid w:val="00383010"/>
    <w:rsid w:val="00383DEB"/>
    <w:rsid w:val="00390DC4"/>
    <w:rsid w:val="00395CA1"/>
    <w:rsid w:val="003A3BE8"/>
    <w:rsid w:val="003A3C08"/>
    <w:rsid w:val="003B19FB"/>
    <w:rsid w:val="003B48A5"/>
    <w:rsid w:val="003B6002"/>
    <w:rsid w:val="003C0B63"/>
    <w:rsid w:val="003C3630"/>
    <w:rsid w:val="003D589E"/>
    <w:rsid w:val="003D5CF7"/>
    <w:rsid w:val="003E0F93"/>
    <w:rsid w:val="003F1D3C"/>
    <w:rsid w:val="003F5065"/>
    <w:rsid w:val="004048C5"/>
    <w:rsid w:val="00407A67"/>
    <w:rsid w:val="004174F7"/>
    <w:rsid w:val="0043745E"/>
    <w:rsid w:val="00437FA1"/>
    <w:rsid w:val="00440D77"/>
    <w:rsid w:val="00441295"/>
    <w:rsid w:val="0044452E"/>
    <w:rsid w:val="00454313"/>
    <w:rsid w:val="00462BD2"/>
    <w:rsid w:val="00475DBB"/>
    <w:rsid w:val="004A77E0"/>
    <w:rsid w:val="004B0E6E"/>
    <w:rsid w:val="004C0499"/>
    <w:rsid w:val="004C36F3"/>
    <w:rsid w:val="004D61AC"/>
    <w:rsid w:val="004E3C45"/>
    <w:rsid w:val="004E5172"/>
    <w:rsid w:val="00522858"/>
    <w:rsid w:val="00534515"/>
    <w:rsid w:val="0053646A"/>
    <w:rsid w:val="005431E8"/>
    <w:rsid w:val="00544907"/>
    <w:rsid w:val="00562349"/>
    <w:rsid w:val="00564FD8"/>
    <w:rsid w:val="005706E9"/>
    <w:rsid w:val="0057215A"/>
    <w:rsid w:val="00585A4D"/>
    <w:rsid w:val="005936AA"/>
    <w:rsid w:val="00593AA5"/>
    <w:rsid w:val="00594885"/>
    <w:rsid w:val="00594D1B"/>
    <w:rsid w:val="00596137"/>
    <w:rsid w:val="005B659B"/>
    <w:rsid w:val="005C12D1"/>
    <w:rsid w:val="005C3846"/>
    <w:rsid w:val="005C3D5F"/>
    <w:rsid w:val="005E02F1"/>
    <w:rsid w:val="005E0613"/>
    <w:rsid w:val="005E288D"/>
    <w:rsid w:val="006253F1"/>
    <w:rsid w:val="00630F29"/>
    <w:rsid w:val="00641D44"/>
    <w:rsid w:val="0065168A"/>
    <w:rsid w:val="00653AED"/>
    <w:rsid w:val="006554AF"/>
    <w:rsid w:val="00660465"/>
    <w:rsid w:val="00664A99"/>
    <w:rsid w:val="00677719"/>
    <w:rsid w:val="00684F49"/>
    <w:rsid w:val="0068588E"/>
    <w:rsid w:val="00685F68"/>
    <w:rsid w:val="00692CE4"/>
    <w:rsid w:val="00694E83"/>
    <w:rsid w:val="00695E16"/>
    <w:rsid w:val="006B4392"/>
    <w:rsid w:val="006D211E"/>
    <w:rsid w:val="006F5380"/>
    <w:rsid w:val="00703AA5"/>
    <w:rsid w:val="00705FA6"/>
    <w:rsid w:val="007135C2"/>
    <w:rsid w:val="007161C5"/>
    <w:rsid w:val="00720753"/>
    <w:rsid w:val="007344E7"/>
    <w:rsid w:val="007416FA"/>
    <w:rsid w:val="00744051"/>
    <w:rsid w:val="00785CCF"/>
    <w:rsid w:val="0079456E"/>
    <w:rsid w:val="007B0F38"/>
    <w:rsid w:val="007B4C87"/>
    <w:rsid w:val="007C1D73"/>
    <w:rsid w:val="007D4F9D"/>
    <w:rsid w:val="007D63DD"/>
    <w:rsid w:val="007E7320"/>
    <w:rsid w:val="00802F88"/>
    <w:rsid w:val="00816014"/>
    <w:rsid w:val="008173D5"/>
    <w:rsid w:val="00820F01"/>
    <w:rsid w:val="00824224"/>
    <w:rsid w:val="0083035B"/>
    <w:rsid w:val="00844490"/>
    <w:rsid w:val="0084477F"/>
    <w:rsid w:val="008522FE"/>
    <w:rsid w:val="00863EB3"/>
    <w:rsid w:val="00873E71"/>
    <w:rsid w:val="00893DE6"/>
    <w:rsid w:val="0089656E"/>
    <w:rsid w:val="008A2912"/>
    <w:rsid w:val="008B2209"/>
    <w:rsid w:val="008B261A"/>
    <w:rsid w:val="008C0B81"/>
    <w:rsid w:val="008C0F87"/>
    <w:rsid w:val="008C761C"/>
    <w:rsid w:val="008D0894"/>
    <w:rsid w:val="008F27B3"/>
    <w:rsid w:val="008F484F"/>
    <w:rsid w:val="008F63B4"/>
    <w:rsid w:val="00904CFA"/>
    <w:rsid w:val="00921973"/>
    <w:rsid w:val="009253B2"/>
    <w:rsid w:val="00927D43"/>
    <w:rsid w:val="00944F0F"/>
    <w:rsid w:val="009459C0"/>
    <w:rsid w:val="00947416"/>
    <w:rsid w:val="00953F40"/>
    <w:rsid w:val="0095494E"/>
    <w:rsid w:val="0095538C"/>
    <w:rsid w:val="00964C65"/>
    <w:rsid w:val="009668E9"/>
    <w:rsid w:val="00966FAA"/>
    <w:rsid w:val="0099072F"/>
    <w:rsid w:val="00990A61"/>
    <w:rsid w:val="00996B34"/>
    <w:rsid w:val="009C27F3"/>
    <w:rsid w:val="009D12E2"/>
    <w:rsid w:val="009E0D7E"/>
    <w:rsid w:val="00A00C7B"/>
    <w:rsid w:val="00A03787"/>
    <w:rsid w:val="00A04126"/>
    <w:rsid w:val="00A042C2"/>
    <w:rsid w:val="00A056DB"/>
    <w:rsid w:val="00A063AB"/>
    <w:rsid w:val="00A1614F"/>
    <w:rsid w:val="00A23CDC"/>
    <w:rsid w:val="00A275A6"/>
    <w:rsid w:val="00A3240C"/>
    <w:rsid w:val="00A47673"/>
    <w:rsid w:val="00A6277B"/>
    <w:rsid w:val="00A6692C"/>
    <w:rsid w:val="00A67A3E"/>
    <w:rsid w:val="00A90B35"/>
    <w:rsid w:val="00AA7162"/>
    <w:rsid w:val="00AB48E8"/>
    <w:rsid w:val="00AB6125"/>
    <w:rsid w:val="00AC6503"/>
    <w:rsid w:val="00B1083A"/>
    <w:rsid w:val="00B15F59"/>
    <w:rsid w:val="00B2587F"/>
    <w:rsid w:val="00B430E2"/>
    <w:rsid w:val="00B5607D"/>
    <w:rsid w:val="00B634B4"/>
    <w:rsid w:val="00B635FF"/>
    <w:rsid w:val="00B7417B"/>
    <w:rsid w:val="00B82C4E"/>
    <w:rsid w:val="00B84A83"/>
    <w:rsid w:val="00B87906"/>
    <w:rsid w:val="00BA0207"/>
    <w:rsid w:val="00BA4D65"/>
    <w:rsid w:val="00BB52CD"/>
    <w:rsid w:val="00BB5C6B"/>
    <w:rsid w:val="00BC0306"/>
    <w:rsid w:val="00BC7E55"/>
    <w:rsid w:val="00BD6FE5"/>
    <w:rsid w:val="00BE47D5"/>
    <w:rsid w:val="00C01351"/>
    <w:rsid w:val="00C101A1"/>
    <w:rsid w:val="00C1353E"/>
    <w:rsid w:val="00C21ABB"/>
    <w:rsid w:val="00C33751"/>
    <w:rsid w:val="00C34529"/>
    <w:rsid w:val="00C40A7B"/>
    <w:rsid w:val="00C504F2"/>
    <w:rsid w:val="00C8480B"/>
    <w:rsid w:val="00C9090F"/>
    <w:rsid w:val="00C9550B"/>
    <w:rsid w:val="00CA1126"/>
    <w:rsid w:val="00CB038C"/>
    <w:rsid w:val="00CB2760"/>
    <w:rsid w:val="00CB3F31"/>
    <w:rsid w:val="00CB4786"/>
    <w:rsid w:val="00CB5674"/>
    <w:rsid w:val="00CB7016"/>
    <w:rsid w:val="00CC4B31"/>
    <w:rsid w:val="00CC564B"/>
    <w:rsid w:val="00CE0078"/>
    <w:rsid w:val="00CE158A"/>
    <w:rsid w:val="00CE4C49"/>
    <w:rsid w:val="00CE52FE"/>
    <w:rsid w:val="00CF0125"/>
    <w:rsid w:val="00D00F6A"/>
    <w:rsid w:val="00D054D4"/>
    <w:rsid w:val="00D06460"/>
    <w:rsid w:val="00D1357B"/>
    <w:rsid w:val="00D1540A"/>
    <w:rsid w:val="00D340F6"/>
    <w:rsid w:val="00D35821"/>
    <w:rsid w:val="00D51A7A"/>
    <w:rsid w:val="00D52695"/>
    <w:rsid w:val="00D52916"/>
    <w:rsid w:val="00D5386C"/>
    <w:rsid w:val="00D54CA8"/>
    <w:rsid w:val="00D719B6"/>
    <w:rsid w:val="00D7396B"/>
    <w:rsid w:val="00D73F64"/>
    <w:rsid w:val="00D7544D"/>
    <w:rsid w:val="00D916BC"/>
    <w:rsid w:val="00DB378C"/>
    <w:rsid w:val="00DB39AB"/>
    <w:rsid w:val="00DB5378"/>
    <w:rsid w:val="00DB6630"/>
    <w:rsid w:val="00DC2EB5"/>
    <w:rsid w:val="00DC5A99"/>
    <w:rsid w:val="00DD0C72"/>
    <w:rsid w:val="00DD243E"/>
    <w:rsid w:val="00DD6A17"/>
    <w:rsid w:val="00DF0C4F"/>
    <w:rsid w:val="00DF6E44"/>
    <w:rsid w:val="00DF759D"/>
    <w:rsid w:val="00E00F4C"/>
    <w:rsid w:val="00E13CFA"/>
    <w:rsid w:val="00E14D4A"/>
    <w:rsid w:val="00E225C0"/>
    <w:rsid w:val="00E31E79"/>
    <w:rsid w:val="00E36E22"/>
    <w:rsid w:val="00E427BE"/>
    <w:rsid w:val="00E577DC"/>
    <w:rsid w:val="00E57B62"/>
    <w:rsid w:val="00E6316F"/>
    <w:rsid w:val="00E66C94"/>
    <w:rsid w:val="00E7691B"/>
    <w:rsid w:val="00E92F6D"/>
    <w:rsid w:val="00E96A1F"/>
    <w:rsid w:val="00EA5D83"/>
    <w:rsid w:val="00EB079E"/>
    <w:rsid w:val="00EB635A"/>
    <w:rsid w:val="00EB7D90"/>
    <w:rsid w:val="00ED227C"/>
    <w:rsid w:val="00EE35FD"/>
    <w:rsid w:val="00EE4AC5"/>
    <w:rsid w:val="00EF4A74"/>
    <w:rsid w:val="00EF57B1"/>
    <w:rsid w:val="00F20B14"/>
    <w:rsid w:val="00F218D8"/>
    <w:rsid w:val="00F30924"/>
    <w:rsid w:val="00F374AE"/>
    <w:rsid w:val="00F44354"/>
    <w:rsid w:val="00F45515"/>
    <w:rsid w:val="00F45B7C"/>
    <w:rsid w:val="00F66A4B"/>
    <w:rsid w:val="00F731FB"/>
    <w:rsid w:val="00F8298C"/>
    <w:rsid w:val="00F85B4A"/>
    <w:rsid w:val="00F9067B"/>
    <w:rsid w:val="00FA0FB2"/>
    <w:rsid w:val="00FA15DD"/>
    <w:rsid w:val="00FB34DB"/>
    <w:rsid w:val="00FB40DD"/>
    <w:rsid w:val="00FC1E91"/>
    <w:rsid w:val="00FD690E"/>
    <w:rsid w:val="00FD6BB8"/>
    <w:rsid w:val="00FE534F"/>
    <w:rsid w:val="00FF3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EBC74"/>
  <w15:chartTrackingRefBased/>
  <w15:docId w15:val="{22ADB516-3A06-4077-A7C8-995AE9D6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4"/>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rsid w:val="00E577DC"/>
    <w:pPr>
      <w:tabs>
        <w:tab w:val="center" w:pos="4153"/>
        <w:tab w:val="right" w:pos="8306"/>
      </w:tabs>
    </w:pPr>
  </w:style>
  <w:style w:type="paragraph" w:styleId="Footer">
    <w:name w:val="footer"/>
    <w:basedOn w:val="Normal"/>
    <w:link w:val="FooterChar"/>
    <w:rsid w:val="00E577DC"/>
    <w:pPr>
      <w:tabs>
        <w:tab w:val="center" w:pos="4153"/>
        <w:tab w:val="right" w:pos="8306"/>
      </w:tabs>
    </w:pPr>
  </w:style>
  <w:style w:type="paragraph" w:styleId="Date">
    <w:name w:val="Date"/>
    <w:basedOn w:val="Normal"/>
    <w:next w:val="Normal"/>
    <w:rsid w:val="00DC5A99"/>
  </w:style>
  <w:style w:type="character" w:styleId="Strong">
    <w:name w:val="Strong"/>
    <w:uiPriority w:val="22"/>
    <w:qFormat/>
    <w:rsid w:val="008F27B3"/>
    <w:rPr>
      <w:b/>
      <w:bCs/>
    </w:rPr>
  </w:style>
  <w:style w:type="character" w:styleId="Emphasis">
    <w:name w:val="Emphasis"/>
    <w:qFormat/>
    <w:rsid w:val="008F27B3"/>
    <w:rPr>
      <w:i/>
      <w:iCs/>
    </w:rPr>
  </w:style>
  <w:style w:type="paragraph" w:styleId="BalloonText">
    <w:name w:val="Balloon Text"/>
    <w:basedOn w:val="Normal"/>
    <w:link w:val="BalloonTextChar"/>
    <w:rsid w:val="00B1083A"/>
    <w:rPr>
      <w:rFonts w:ascii="Segoe UI" w:hAnsi="Segoe UI" w:cs="Segoe UI"/>
      <w:sz w:val="18"/>
      <w:szCs w:val="18"/>
    </w:rPr>
  </w:style>
  <w:style w:type="character" w:customStyle="1" w:styleId="BalloonTextChar">
    <w:name w:val="Balloon Text Char"/>
    <w:link w:val="BalloonText"/>
    <w:rsid w:val="00B1083A"/>
    <w:rPr>
      <w:rFonts w:ascii="Segoe UI" w:hAnsi="Segoe UI" w:cs="Segoe UI"/>
      <w:sz w:val="18"/>
      <w:szCs w:val="18"/>
      <w:lang w:eastAsia="en-US"/>
    </w:rPr>
  </w:style>
  <w:style w:type="character" w:styleId="FollowedHyperlink">
    <w:name w:val="FollowedHyperlink"/>
    <w:rsid w:val="00C01351"/>
    <w:rPr>
      <w:color w:val="800080"/>
      <w:u w:val="single"/>
    </w:rPr>
  </w:style>
  <w:style w:type="character" w:styleId="CommentReference">
    <w:name w:val="annotation reference"/>
    <w:rsid w:val="001B7691"/>
    <w:rPr>
      <w:sz w:val="16"/>
      <w:szCs w:val="16"/>
    </w:rPr>
  </w:style>
  <w:style w:type="paragraph" w:styleId="CommentText">
    <w:name w:val="annotation text"/>
    <w:basedOn w:val="Normal"/>
    <w:link w:val="CommentTextChar"/>
    <w:rsid w:val="001B7691"/>
    <w:rPr>
      <w:sz w:val="20"/>
      <w:szCs w:val="20"/>
    </w:rPr>
  </w:style>
  <w:style w:type="character" w:customStyle="1" w:styleId="CommentTextChar">
    <w:name w:val="Comment Text Char"/>
    <w:link w:val="CommentText"/>
    <w:rsid w:val="001B7691"/>
    <w:rPr>
      <w:rFonts w:ascii="Gill Sans MT" w:hAnsi="Gill Sans MT"/>
      <w:lang w:eastAsia="en-US"/>
    </w:rPr>
  </w:style>
  <w:style w:type="paragraph" w:styleId="CommentSubject">
    <w:name w:val="annotation subject"/>
    <w:basedOn w:val="CommentText"/>
    <w:next w:val="CommentText"/>
    <w:link w:val="CommentSubjectChar"/>
    <w:rsid w:val="001B7691"/>
    <w:rPr>
      <w:b/>
      <w:bCs/>
    </w:rPr>
  </w:style>
  <w:style w:type="character" w:customStyle="1" w:styleId="CommentSubjectChar">
    <w:name w:val="Comment Subject Char"/>
    <w:link w:val="CommentSubject"/>
    <w:rsid w:val="001B7691"/>
    <w:rPr>
      <w:rFonts w:ascii="Gill Sans MT" w:hAnsi="Gill Sans MT"/>
      <w:b/>
      <w:bCs/>
      <w:lang w:eastAsia="en-US"/>
    </w:rPr>
  </w:style>
  <w:style w:type="paragraph" w:styleId="ListParagraph">
    <w:name w:val="List Paragraph"/>
    <w:basedOn w:val="Normal"/>
    <w:uiPriority w:val="34"/>
    <w:qFormat/>
    <w:rsid w:val="00383DEB"/>
    <w:pPr>
      <w:ind w:left="720"/>
      <w:contextualSpacing/>
    </w:pPr>
  </w:style>
  <w:style w:type="paragraph" w:styleId="NormalWeb">
    <w:name w:val="Normal (Web)"/>
    <w:basedOn w:val="Normal"/>
    <w:uiPriority w:val="99"/>
    <w:unhideWhenUsed/>
    <w:rsid w:val="00330140"/>
    <w:pPr>
      <w:spacing w:before="100" w:beforeAutospacing="1" w:after="100" w:afterAutospacing="1"/>
    </w:pPr>
    <w:rPr>
      <w:rFonts w:ascii="Times New Roman" w:hAnsi="Times New Roman"/>
      <w:lang w:eastAsia="en-GB"/>
    </w:rPr>
  </w:style>
  <w:style w:type="character" w:customStyle="1" w:styleId="HeaderChar">
    <w:name w:val="Header Char"/>
    <w:basedOn w:val="DefaultParagraphFont"/>
    <w:link w:val="Header"/>
    <w:uiPriority w:val="99"/>
    <w:rsid w:val="00FA0FB2"/>
    <w:rPr>
      <w:rFonts w:ascii="Gill Sans MT" w:hAnsi="Gill Sans MT"/>
      <w:sz w:val="24"/>
      <w:szCs w:val="24"/>
      <w:lang w:eastAsia="en-US"/>
    </w:rPr>
  </w:style>
  <w:style w:type="character" w:customStyle="1" w:styleId="FooterChar">
    <w:name w:val="Footer Char"/>
    <w:basedOn w:val="DefaultParagraphFont"/>
    <w:link w:val="Footer"/>
    <w:rsid w:val="00407A67"/>
    <w:rPr>
      <w:rFonts w:ascii="Gill Sans MT" w:hAnsi="Gill Sans MT"/>
      <w:sz w:val="24"/>
      <w:szCs w:val="24"/>
      <w:lang w:eastAsia="en-US"/>
    </w:rPr>
  </w:style>
  <w:style w:type="character" w:customStyle="1" w:styleId="qowt-stl-hyperlink">
    <w:name w:val="qowt-stl-hyperlink"/>
    <w:rsid w:val="00844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82443">
      <w:bodyDiv w:val="1"/>
      <w:marLeft w:val="0"/>
      <w:marRight w:val="0"/>
      <w:marTop w:val="0"/>
      <w:marBottom w:val="0"/>
      <w:divBdr>
        <w:top w:val="none" w:sz="0" w:space="0" w:color="auto"/>
        <w:left w:val="none" w:sz="0" w:space="0" w:color="auto"/>
        <w:bottom w:val="none" w:sz="0" w:space="0" w:color="auto"/>
        <w:right w:val="none" w:sz="0" w:space="0" w:color="auto"/>
      </w:divBdr>
    </w:div>
    <w:div w:id="294602170">
      <w:bodyDiv w:val="1"/>
      <w:marLeft w:val="0"/>
      <w:marRight w:val="0"/>
      <w:marTop w:val="0"/>
      <w:marBottom w:val="0"/>
      <w:divBdr>
        <w:top w:val="none" w:sz="0" w:space="0" w:color="auto"/>
        <w:left w:val="none" w:sz="0" w:space="0" w:color="auto"/>
        <w:bottom w:val="none" w:sz="0" w:space="0" w:color="auto"/>
        <w:right w:val="none" w:sz="0" w:space="0" w:color="auto"/>
      </w:divBdr>
    </w:div>
    <w:div w:id="299966212">
      <w:bodyDiv w:val="1"/>
      <w:marLeft w:val="0"/>
      <w:marRight w:val="0"/>
      <w:marTop w:val="0"/>
      <w:marBottom w:val="0"/>
      <w:divBdr>
        <w:top w:val="none" w:sz="0" w:space="0" w:color="auto"/>
        <w:left w:val="none" w:sz="0" w:space="0" w:color="auto"/>
        <w:bottom w:val="none" w:sz="0" w:space="0" w:color="auto"/>
        <w:right w:val="none" w:sz="0" w:space="0" w:color="auto"/>
      </w:divBdr>
    </w:div>
    <w:div w:id="967975034">
      <w:bodyDiv w:val="1"/>
      <w:marLeft w:val="0"/>
      <w:marRight w:val="0"/>
      <w:marTop w:val="0"/>
      <w:marBottom w:val="0"/>
      <w:divBdr>
        <w:top w:val="none" w:sz="0" w:space="0" w:color="auto"/>
        <w:left w:val="none" w:sz="0" w:space="0" w:color="auto"/>
        <w:bottom w:val="none" w:sz="0" w:space="0" w:color="auto"/>
        <w:right w:val="none" w:sz="0" w:space="0" w:color="auto"/>
      </w:divBdr>
    </w:div>
    <w:div w:id="1649356758">
      <w:bodyDiv w:val="1"/>
      <w:marLeft w:val="150"/>
      <w:marRight w:val="0"/>
      <w:marTop w:val="375"/>
      <w:marBottom w:val="0"/>
      <w:divBdr>
        <w:top w:val="none" w:sz="0" w:space="0" w:color="auto"/>
        <w:left w:val="none" w:sz="0" w:space="0" w:color="auto"/>
        <w:bottom w:val="none" w:sz="0" w:space="0" w:color="auto"/>
        <w:right w:val="none" w:sz="0" w:space="0" w:color="auto"/>
      </w:divBdr>
      <w:divsChild>
        <w:div w:id="103646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crs-uk.org/primary-care-respiratory-society-uk-trus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crs-uk.org/company-pap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pcrs-uk.org" TargetMode="External"/><Relationship Id="rId2" Type="http://schemas.openxmlformats.org/officeDocument/2006/relationships/hyperlink" Target="http://www.nature.com/npjpcrm/" TargetMode="External"/><Relationship Id="rId1" Type="http://schemas.openxmlformats.org/officeDocument/2006/relationships/image" Target="media/image2.png"/><Relationship Id="rId4" Type="http://schemas.openxmlformats.org/officeDocument/2006/relationships/hyperlink" Target="https://www.pcrs-uk.org/corporate-suppor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PIAGContin.dot" TargetMode="External"/></Relationships>
</file>

<file path=word/theme/theme1.xml><?xml version="1.0" encoding="utf-8"?>
<a:theme xmlns:a="http://schemas.openxmlformats.org/drawingml/2006/main" name="Office Theme">
  <a:themeElements>
    <a:clrScheme name="PCRS">
      <a:dk1>
        <a:sysClr val="windowText" lastClr="000000"/>
      </a:dk1>
      <a:lt1>
        <a:sysClr val="window" lastClr="FFFFFF"/>
      </a:lt1>
      <a:dk2>
        <a:srgbClr val="06253E"/>
      </a:dk2>
      <a:lt2>
        <a:srgbClr val="B5B5B5"/>
      </a:lt2>
      <a:accent1>
        <a:srgbClr val="153B64"/>
      </a:accent1>
      <a:accent2>
        <a:srgbClr val="0C4C83"/>
      </a:accent2>
      <a:accent3>
        <a:srgbClr val="38727C"/>
      </a:accent3>
      <a:accent4>
        <a:srgbClr val="589392"/>
      </a:accent4>
      <a:accent5>
        <a:srgbClr val="BAC454"/>
      </a:accent5>
      <a:accent6>
        <a:srgbClr val="CB822C"/>
      </a:accent6>
      <a:hlink>
        <a:srgbClr val="06253E"/>
      </a:hlink>
      <a:folHlink>
        <a:srgbClr val="597F9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6D9C33A3B8D4682A0F7FC06B3C692" ma:contentTypeVersion="0" ma:contentTypeDescription="Create a new document." ma:contentTypeScope="" ma:versionID="d087fa32a3b5963c23654d07320e32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9F56-D5CE-4F23-A5A6-C40B2A8BF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3F2DCF-1805-4A39-9FB0-DE5BA43D985A}">
  <ds:schemaRefs>
    <ds:schemaRef ds:uri="http://schemas.microsoft.com/sharepoint/v3/contenttype/forms"/>
  </ds:schemaRefs>
</ds:datastoreItem>
</file>

<file path=customXml/itemProps3.xml><?xml version="1.0" encoding="utf-8"?>
<ds:datastoreItem xmlns:ds="http://schemas.openxmlformats.org/officeDocument/2006/customXml" ds:itemID="{04B9393D-7F8F-42CB-80DB-BDA03C28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A26587-8424-4B08-B17C-9F34E42B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GPIAGContin</Template>
  <TotalTime>5</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Mr Lee Robson</vt:lpstr>
    </vt:vector>
  </TitlesOfParts>
  <Company>Red Hot Irons</Company>
  <LinksUpToDate>false</LinksUpToDate>
  <CharactersWithSpaces>4020</CharactersWithSpaces>
  <SharedDoc>false</SharedDoc>
  <HLinks>
    <vt:vector size="30" baseType="variant">
      <vt:variant>
        <vt:i4>131075</vt:i4>
      </vt:variant>
      <vt:variant>
        <vt:i4>12</vt:i4>
      </vt:variant>
      <vt:variant>
        <vt:i4>0</vt:i4>
      </vt:variant>
      <vt:variant>
        <vt:i4>5</vt:i4>
      </vt:variant>
      <vt:variant>
        <vt:lpwstr>https://pcrs-uk.org/sites/pcrs-uk.org/files/Statement on Pharmaceutical industry funding_Jan_17.docx</vt:lpwstr>
      </vt:variant>
      <vt:variant>
        <vt:lpwstr/>
      </vt:variant>
      <vt:variant>
        <vt:i4>3211318</vt:i4>
      </vt:variant>
      <vt:variant>
        <vt:i4>9</vt:i4>
      </vt:variant>
      <vt:variant>
        <vt:i4>0</vt:i4>
      </vt:variant>
      <vt:variant>
        <vt:i4>5</vt:i4>
      </vt:variant>
      <vt:variant>
        <vt:lpwstr>https://www.facebook.com/PCRSUK</vt:lpwstr>
      </vt:variant>
      <vt:variant>
        <vt:lpwstr/>
      </vt:variant>
      <vt:variant>
        <vt:i4>6750313</vt:i4>
      </vt:variant>
      <vt:variant>
        <vt:i4>6</vt:i4>
      </vt:variant>
      <vt:variant>
        <vt:i4>0</vt:i4>
      </vt:variant>
      <vt:variant>
        <vt:i4>5</vt:i4>
      </vt:variant>
      <vt:variant>
        <vt:lpwstr>http://www.pcrs-uk.org/</vt:lpwstr>
      </vt:variant>
      <vt:variant>
        <vt:lpwstr/>
      </vt:variant>
      <vt:variant>
        <vt:i4>1310816</vt:i4>
      </vt:variant>
      <vt:variant>
        <vt:i4>3</vt:i4>
      </vt:variant>
      <vt:variant>
        <vt:i4>0</vt:i4>
      </vt:variant>
      <vt:variant>
        <vt:i4>5</vt:i4>
      </vt:variant>
      <vt:variant>
        <vt:lpwstr>mailto:info@pcrs-uk.org</vt:lpwstr>
      </vt:variant>
      <vt:variant>
        <vt:lpwstr/>
      </vt:variant>
      <vt:variant>
        <vt:i4>7340069</vt:i4>
      </vt:variant>
      <vt:variant>
        <vt:i4>0</vt:i4>
      </vt:variant>
      <vt:variant>
        <vt:i4>0</vt:i4>
      </vt:variant>
      <vt:variant>
        <vt:i4>5</vt:i4>
      </vt:variant>
      <vt:variant>
        <vt:lpwstr>http://www.nature.com/npjpcrm/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Lee Robson</dc:title>
  <dc:subject/>
  <dc:creator>Tricia Bryant</dc:creator>
  <cp:keywords/>
  <cp:lastModifiedBy>User</cp:lastModifiedBy>
  <cp:revision>3</cp:revision>
  <cp:lastPrinted>2018-10-03T08:19:00Z</cp:lastPrinted>
  <dcterms:created xsi:type="dcterms:W3CDTF">2020-04-09T13:41:00Z</dcterms:created>
  <dcterms:modified xsi:type="dcterms:W3CDTF">2020-04-09T13:45:00Z</dcterms:modified>
</cp:coreProperties>
</file>